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9</w:t>
      </w:r>
      <w:r>
        <w:rPr>
          <w:b/>
          <w:sz w:val="24"/>
        </w:rPr>
        <w:t xml:space="preserve"> </w:t>
      </w:r>
      <w:r>
        <w:rPr>
          <w:b/>
          <w:i/>
          <w:sz w:val="24"/>
        </w:rPr>
        <w:t xml:space="preserve"> </w:t>
      </w:r>
      <w:r>
        <w:rPr>
          <w:b/>
          <w:i/>
          <w:sz w:val="28"/>
        </w:rPr>
        <w:tab/>
      </w:r>
      <w:r>
        <w:rPr>
          <w:b/>
          <w:i/>
          <w:sz w:val="28"/>
        </w:rPr>
        <w:t>S3-22</w:t>
      </w:r>
      <w:r>
        <w:rPr>
          <w:rFonts w:hint="eastAsia" w:eastAsia="宋体"/>
          <w:b/>
          <w:i/>
          <w:sz w:val="28"/>
          <w:lang w:val="en-US" w:eastAsia="zh-CN"/>
        </w:rPr>
        <w:t>3425</w:t>
      </w:r>
      <w:bookmarkStart w:id="3" w:name="_GoBack"/>
      <w:bookmarkEnd w:id="3"/>
    </w:p>
    <w:p>
      <w:pPr>
        <w:pStyle w:val="82"/>
        <w:outlineLvl w:val="0"/>
        <w:rPr>
          <w:rFonts w:hint="eastAsia" w:eastAsia="宋体"/>
          <w:b/>
          <w:bCs/>
          <w:sz w:val="24"/>
          <w:lang w:val="en-US" w:eastAsia="zh-CN"/>
        </w:rPr>
      </w:pPr>
      <w:r>
        <w:rPr>
          <w:b/>
          <w:bCs/>
          <w:sz w:val="24"/>
        </w:rPr>
        <w:t>Toulouse,France, 14 - 18 Novem</w:t>
      </w:r>
      <w:r>
        <w:rPr>
          <w:rFonts w:cs="Times New Roman"/>
          <w:b/>
          <w:bCs/>
          <w:sz w:val="24"/>
        </w:rPr>
        <w:t>ber 202</w:t>
      </w:r>
      <w:r>
        <w:rPr>
          <w:rFonts w:cs="Times New Roman"/>
          <w:b/>
          <w:bCs/>
          <w:sz w:val="24"/>
          <w:lang w:val="en-GB" w:eastAsia="en-US"/>
        </w:rPr>
        <w:t>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b/>
                <w:sz w:val="28"/>
              </w:rPr>
              <w:t>33.</w:t>
            </w:r>
            <w:r>
              <w:rPr>
                <w:rFonts w:hint="eastAsia" w:eastAsia="宋体"/>
                <w:b/>
                <w:sz w:val="28"/>
                <w:lang w:val="en-US" w:eastAsia="zh-CN"/>
              </w:rPr>
              <w:t>535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eastAsia="宋体"/>
                <w:b/>
                <w:sz w:val="28"/>
                <w:lang w:val="en-US" w:eastAsia="zh-CN"/>
              </w:rPr>
              <w:t>X</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lang w:eastAsia="zh-CN"/>
              </w:rPr>
            </w:pPr>
            <w:r>
              <w:rPr>
                <w:rFonts w:hint="eastAsia" w:eastAsia="宋体"/>
                <w:b/>
                <w:sz w:val="28"/>
                <w:lang w:val="en-US" w:eastAsia="zh-CN"/>
              </w:rPr>
              <w:t>X</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宋体"/>
                <w:b/>
                <w:sz w:val="28"/>
                <w:lang w:val="en-US" w:eastAsia="zh-CN"/>
              </w:rPr>
              <w:t>7</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22"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Add </w:t>
            </w:r>
            <w:r>
              <w:rPr>
                <w:rFonts w:eastAsia="宋体"/>
                <w:lang w:val="en-US" w:eastAsia="zh-CN"/>
              </w:rPr>
              <w:t xml:space="preserve">MnF </w:t>
            </w:r>
            <w:r>
              <w:rPr>
                <w:rFonts w:hint="eastAsia" w:eastAsia="宋体"/>
                <w:lang w:val="en-US" w:eastAsia="zh-CN"/>
              </w:rPr>
              <w:t xml:space="preserve">in clause 6.6.1and 6.7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eastAsia="zh-CN"/>
              </w:rPr>
            </w:pPr>
            <w:r>
              <w:rPr>
                <w:rFonts w:hint="eastAsia" w:eastAsia="宋体"/>
                <w:sz w:val="18"/>
                <w:szCs w:val="18"/>
                <w:lang w:val="en-US" w:eastAsia="zh-CN"/>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eastAsia="zh-CN"/>
              </w:rPr>
            </w:pPr>
            <w:r>
              <w:t>2022-11-</w:t>
            </w:r>
            <w:r>
              <w:rPr>
                <w:rFonts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lang w:eastAsia="ko-KR"/>
              </w:rPr>
            </w:pPr>
            <w:r>
              <w:rPr>
                <w:rFonts w:hint="eastAsia" w:ascii="Arial" w:hAnsi="Arial" w:eastAsia="宋体" w:cs="Arial"/>
                <w:color w:val="000000"/>
                <w:sz w:val="20"/>
                <w:szCs w:val="20"/>
              </w:rPr>
              <w:t xml:space="preserve">According </w:t>
            </w:r>
            <w:r>
              <w:rPr>
                <w:rFonts w:hint="eastAsia" w:ascii="Arial" w:hAnsi="Arial" w:eastAsia="宋体" w:cs="Arial"/>
                <w:color w:val="000000"/>
                <w:sz w:val="20"/>
                <w:szCs w:val="20"/>
                <w:lang w:val="en-US" w:eastAsia="zh-CN"/>
              </w:rPr>
              <w:t xml:space="preserve">to </w:t>
            </w:r>
            <w:r>
              <w:rPr>
                <w:rFonts w:hint="eastAsia" w:ascii="Arial" w:hAnsi="Arial" w:eastAsia="宋体" w:cs="Arial"/>
                <w:color w:val="000000"/>
                <w:sz w:val="20"/>
                <w:szCs w:val="20"/>
              </w:rPr>
              <w:t xml:space="preserve">S3-22XXXXX (draft S3-22XXXX add Context_Remove into table 7.1.1-1), </w:t>
            </w:r>
            <w:r>
              <w:rPr>
                <w:rFonts w:ascii="Arial" w:hAnsi="Arial" w:eastAsia="宋体" w:cs="Arial"/>
                <w:color w:val="000000"/>
                <w:sz w:val="20"/>
                <w:szCs w:val="20"/>
              </w:rPr>
              <w:t>MnF</w:t>
            </w:r>
            <w:r>
              <w:rPr>
                <w:rFonts w:hint="eastAsia" w:ascii="Arial" w:hAnsi="Arial" w:eastAsia="宋体" w:cs="Arial"/>
                <w:color w:val="000000"/>
                <w:sz w:val="20"/>
                <w:szCs w:val="20"/>
              </w:rPr>
              <w:t xml:space="preserve"> </w:t>
            </w:r>
            <w:r>
              <w:rPr>
                <w:rFonts w:hint="eastAsia" w:ascii="Arial" w:hAnsi="Arial" w:eastAsia="宋体" w:cs="Arial"/>
                <w:color w:val="000000"/>
                <w:sz w:val="20"/>
                <w:szCs w:val="20"/>
                <w:lang w:val="en-US" w:eastAsia="zh-CN"/>
              </w:rPr>
              <w:t>can</w:t>
            </w:r>
            <w:r>
              <w:rPr>
                <w:rFonts w:hint="eastAsia" w:ascii="Arial" w:hAnsi="Arial" w:eastAsia="宋体" w:cs="Arial"/>
                <w:color w:val="000000"/>
                <w:sz w:val="20"/>
                <w:szCs w:val="20"/>
              </w:rPr>
              <w:t xml:space="preserve"> be filled in table 7.1.1-1.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微软雅黑"/>
                <w:lang w:val="en-US" w:eastAsia="zh-CN"/>
              </w:rPr>
            </w:pPr>
            <w:r>
              <w:rPr>
                <w:rFonts w:hint="eastAsia" w:eastAsia="宋体"/>
                <w:lang w:val="en-US" w:eastAsia="zh-CN"/>
              </w:rPr>
              <w:t xml:space="preserve">Add example </w:t>
            </w:r>
            <w:r>
              <w:rPr>
                <w:rFonts w:eastAsia="宋体"/>
                <w:lang w:val="en-US" w:eastAsia="zh-CN"/>
              </w:rPr>
              <w:t>MnF</w:t>
            </w:r>
            <w:r>
              <w:rPr>
                <w:rFonts w:hint="eastAsia" w:eastAsia="宋体"/>
                <w:lang w:val="en-US" w:eastAsia="zh-CN"/>
              </w:rPr>
              <w:t xml:space="preserve"> in clause 6.6.1and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微软雅黑"/>
                <w:lang w:val="en-US" w:eastAsia="zh-CN"/>
              </w:rPr>
              <w:t>Uncompleted specification which may be misleading.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6.6.1, 6.7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4"/>
        <w:rPr>
          <w:lang w:val="en-US" w:eastAsia="zh-CN"/>
        </w:rPr>
      </w:pPr>
      <w:bookmarkStart w:id="1" w:name="_Toc98841250"/>
      <w:r>
        <w:t>6.</w:t>
      </w:r>
      <w:r>
        <w:rPr>
          <w:lang w:eastAsia="zh-CN"/>
        </w:rPr>
        <w:t>6</w:t>
      </w:r>
      <w:r>
        <w:rPr>
          <w:rFonts w:hint="eastAsia"/>
          <w:lang w:val="en-US" w:eastAsia="zh-CN"/>
        </w:rPr>
        <w:t>.1</w:t>
      </w:r>
      <w:r>
        <w:tab/>
      </w:r>
      <w:r>
        <w:rPr>
          <w:rFonts w:hint="eastAsia"/>
          <w:lang w:val="en-US" w:eastAsia="zh-CN"/>
        </w:rPr>
        <w:t>General</w:t>
      </w:r>
      <w:bookmarkEnd w:id="1"/>
    </w:p>
    <w:p>
      <w:pPr>
        <w:rPr>
          <w:lang w:val="en-US" w:eastAsia="zh-CN"/>
        </w:rPr>
      </w:pPr>
      <w:r>
        <w:rPr>
          <w:rFonts w:hint="eastAsia"/>
          <w:lang w:val="en-US" w:eastAsia="zh-CN"/>
        </w:rPr>
        <w:t>This procedure is used to remove the AKMA context in the AAnF. NF consumers</w:t>
      </w:r>
      <w:ins w:id="0" w:author="ZTE-V1" w:date="2022-10-31T11:17:00Z">
        <w:r>
          <w:rPr>
            <w:lang w:val="en-US" w:eastAsia="zh-CN"/>
          </w:rPr>
          <w:t xml:space="preserve"> </w:t>
        </w:r>
      </w:ins>
      <w:ins w:id="1" w:author="ZTE-V1" w:date="2022-07-27T10:50:00Z">
        <w:r>
          <w:rPr>
            <w:rFonts w:eastAsia="宋体"/>
          </w:rPr>
          <w:t>(e.g</w:t>
        </w:r>
      </w:ins>
      <w:ins w:id="2" w:author="ZTE-V1" w:date="2022-07-28T08:21:00Z">
        <w:r>
          <w:rPr>
            <w:rFonts w:hint="eastAsia" w:eastAsia="宋体"/>
            <w:lang w:val="en-US" w:eastAsia="zh-CN"/>
          </w:rPr>
          <w:t>.</w:t>
        </w:r>
      </w:ins>
      <w:ins w:id="3" w:author="ZTE-V1" w:date="2022-07-27T10:50:00Z">
        <w:r>
          <w:rPr>
            <w:rFonts w:eastAsia="宋体"/>
          </w:rPr>
          <w:t xml:space="preserve"> </w:t>
        </w:r>
      </w:ins>
      <w:ins w:id="4" w:author="ZTE-V1" w:date="2022-10-31T11:17:00Z">
        <w:r>
          <w:rPr>
            <w:rFonts w:eastAsia="宋体"/>
          </w:rPr>
          <w:t>MnF</w:t>
        </w:r>
      </w:ins>
      <w:ins w:id="5" w:author="ZTE-V1" w:date="2022-07-27T10:50:00Z">
        <w:r>
          <w:rPr>
            <w:rFonts w:eastAsia="宋体"/>
          </w:rPr>
          <w:t>)</w:t>
        </w:r>
      </w:ins>
      <w:r>
        <w:rPr>
          <w:rFonts w:hint="eastAsia"/>
          <w:lang w:val="en-US" w:eastAsia="zh-CN"/>
        </w:rPr>
        <w:t xml:space="preserve"> may initiate this procedure due to local policy.</w:t>
      </w:r>
    </w:p>
    <w:p>
      <w:pPr>
        <w:pStyle w:val="56"/>
        <w:rPr>
          <w:lang w:val="en-US" w:eastAsia="zh-CN"/>
        </w:rPr>
      </w:pPr>
      <w:r>
        <w:rPr>
          <w:lang w:val="en-US" w:eastAsia="zh-CN"/>
        </w:rPr>
        <w:object>
          <v:shape id="_x0000_i1025" o:spt="75" type="#_x0000_t75" style="height:155.5pt;width:451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p>
    <w:p>
      <w:pPr>
        <w:pStyle w:val="55"/>
      </w:pPr>
      <w:r>
        <w:rPr>
          <w:lang w:eastAsia="zh-CN"/>
        </w:rPr>
        <w:t>Figure 6.6.1-</w:t>
      </w:r>
      <w:r>
        <w:rPr>
          <w:lang w:val="en-US" w:eastAsia="zh-CN"/>
        </w:rPr>
        <w:t>1</w:t>
      </w:r>
      <w:r>
        <w:rPr>
          <w:lang w:eastAsia="zh-CN"/>
        </w:rPr>
        <w:t>: AAnF AKMA context removal procedure</w:t>
      </w:r>
    </w:p>
    <w:p>
      <w:pPr>
        <w:pStyle w:val="76"/>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hint="eastAsia" w:eastAsia="宋体"/>
          <w:color w:val="000000"/>
          <w:lang w:val="en-US" w:eastAsia="zh-CN"/>
        </w:rPr>
        <w:t>.</w:t>
      </w:r>
    </w:p>
    <w:p>
      <w:pPr>
        <w:pStyle w:val="76"/>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xml:space="preserve">, as specified in clause </w:t>
      </w:r>
      <w:r>
        <w:rPr>
          <w:lang w:val="en-US" w:eastAsia="zh-CN"/>
        </w:rPr>
        <w:t>6.7</w:t>
      </w:r>
      <w:r>
        <w:rPr>
          <w:rFonts w:hint="eastAsia"/>
          <w:lang w:val="en-US" w:eastAsia="zh-CN"/>
        </w:rPr>
        <w:t xml:space="preserve"> and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pPr>
        <w:pStyle w:val="76"/>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SUPI, A-KID and K</w:t>
      </w:r>
      <w:r>
        <w:rPr>
          <w:vertAlign w:val="subscript"/>
          <w:lang w:eastAsia="zh-CN"/>
        </w:rPr>
        <w:t>AKMA</w:t>
      </w:r>
      <w:r>
        <w:rPr>
          <w:lang w:eastAsia="zh-CN"/>
        </w:rPr>
        <w:t xml:space="preserve">) from its local database. </w:t>
      </w:r>
    </w:p>
    <w:p>
      <w:pPr>
        <w:pStyle w:val="76"/>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pPr>
        <w:jc w:val="center"/>
        <w:rPr>
          <w:color w:val="FF0000"/>
          <w:sz w:val="40"/>
        </w:rPr>
      </w:pPr>
      <w:r>
        <w:rPr>
          <w:color w:val="FF0000"/>
          <w:sz w:val="40"/>
        </w:rPr>
        <w:t>*** 2</w:t>
      </w:r>
      <w:r>
        <w:rPr>
          <w:color w:val="FF0000"/>
          <w:sz w:val="40"/>
          <w:vertAlign w:val="superscript"/>
        </w:rPr>
        <w:t>nd</w:t>
      </w:r>
      <w:r>
        <w:rPr>
          <w:color w:val="FF0000"/>
          <w:sz w:val="40"/>
        </w:rPr>
        <w:t xml:space="preserve"> CHANGE***</w:t>
      </w:r>
    </w:p>
    <w:p>
      <w:pPr>
        <w:pStyle w:val="3"/>
      </w:pPr>
      <w:bookmarkStart w:id="2" w:name="_Toc98841251"/>
      <w:r>
        <w:t>6.7</w:t>
      </w:r>
      <w:r>
        <w:tab/>
      </w:r>
      <w:r>
        <w:t>AAnF Discovery and Selection</w:t>
      </w:r>
      <w:bookmarkEnd w:id="2"/>
    </w:p>
    <w:p>
      <w:pPr>
        <w:rPr>
          <w:rFonts w:eastAsia="等线"/>
        </w:rPr>
      </w:pPr>
      <w:r>
        <w:rPr>
          <w:rFonts w:eastAsia="等线"/>
        </w:rPr>
        <w:t>The NF consumer or the SCP performs AAnF discovery to discover an AAnF instance.</w:t>
      </w:r>
    </w:p>
    <w:p>
      <w:pPr>
        <w:rPr>
          <w:rFonts w:eastAsia="等线"/>
        </w:rPr>
      </w:pPr>
      <w:r>
        <w:rPr>
          <w:rFonts w:eastAsia="等线"/>
        </w:rPr>
        <w:t>In the case of NF consumer-based discovery and selection, the following applies:</w:t>
      </w:r>
    </w:p>
    <w:p>
      <w:pPr>
        <w:pStyle w:val="76"/>
      </w:pPr>
      <w:r>
        <w:t>-</w:t>
      </w:r>
      <w:r>
        <w:tab/>
      </w:r>
      <w:r>
        <w:t>Internal AFs and the NEF performs AAnF instance selection that handles the AKMA request. The AF/NEF shall utilize the NRF to discover the AAnF instance(s) unless AAnF information is available by other means, e.g. locally configured on the AF/NEF.</w:t>
      </w:r>
    </w:p>
    <w:p>
      <w:pPr>
        <w:pStyle w:val="76"/>
        <w:rPr>
          <w:rFonts w:eastAsia="等线"/>
        </w:rPr>
      </w:pPr>
      <w:r>
        <w:t>-</w:t>
      </w:r>
      <w:r>
        <w:tab/>
      </w:r>
      <w:r>
        <w:rPr>
          <w:rFonts w:eastAsia="等线"/>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pPr>
        <w:pStyle w:val="76"/>
        <w:rPr>
          <w:rFonts w:eastAsia="等线"/>
        </w:rPr>
      </w:pPr>
      <w:r>
        <w:rPr>
          <w:rFonts w:eastAsia="等线"/>
        </w:rPr>
        <w:t>-</w:t>
      </w:r>
      <w:r>
        <w:rPr>
          <w:rFonts w:eastAsia="等线"/>
        </w:rPr>
        <w:tab/>
      </w:r>
      <w:r>
        <w:rPr>
          <w:rFonts w:eastAsia="等线"/>
        </w:rPr>
        <w:t>The NF</w:t>
      </w:r>
      <w:ins w:id="6" w:author="ZTE-V1" w:date="2022-07-27T10:51:00Z">
        <w:r>
          <w:rPr>
            <w:rFonts w:hint="eastAsia" w:eastAsia="等线"/>
            <w:lang w:val="en-US" w:eastAsia="zh-CN"/>
          </w:rPr>
          <w:t xml:space="preserve"> </w:t>
        </w:r>
      </w:ins>
      <w:ins w:id="7" w:author="ZTE-V1" w:date="2022-07-27T10:51:00Z">
        <w:r>
          <w:rPr>
            <w:rFonts w:eastAsia="宋体"/>
          </w:rPr>
          <w:t>(e.g</w:t>
        </w:r>
      </w:ins>
      <w:ins w:id="8" w:author="ZTE-V1" w:date="2022-07-28T08:21:00Z">
        <w:r>
          <w:rPr>
            <w:rFonts w:hint="eastAsia" w:eastAsia="宋体"/>
            <w:lang w:val="en-US" w:eastAsia="zh-CN"/>
          </w:rPr>
          <w:t>.</w:t>
        </w:r>
      </w:ins>
      <w:ins w:id="9" w:author="ZTE-V1" w:date="2022-07-27T10:51:00Z">
        <w:r>
          <w:rPr>
            <w:rFonts w:eastAsia="宋体"/>
          </w:rPr>
          <w:t xml:space="preserve"> </w:t>
        </w:r>
      </w:ins>
      <w:ins w:id="10" w:author="ZTE-V1" w:date="2022-10-31T11:17:00Z">
        <w:r>
          <w:rPr>
            <w:rFonts w:eastAsia="宋体"/>
          </w:rPr>
          <w:t>MnF</w:t>
        </w:r>
      </w:ins>
      <w:ins w:id="11" w:author="ZTE-V1" w:date="2022-07-27T10:51:00Z">
        <w:r>
          <w:rPr>
            <w:rFonts w:eastAsia="宋体"/>
          </w:rPr>
          <w:t>)</w:t>
        </w:r>
      </w:ins>
      <w:r>
        <w:rPr>
          <w:rFonts w:eastAsia="等线"/>
        </w:rPr>
        <w:t xml:space="preserve"> specified in clause 6.6 performs AAnF instance selection that handles the AKMA request. The NF shall utilize the NRF to discover the AAnF instance(s) unless AAnF information is available by other means, e.g. locally configured on the the NF specified in clause 6.6.</w:t>
      </w:r>
    </w:p>
    <w:p>
      <w:r>
        <w:rPr>
          <w:rFonts w:eastAsia="等线"/>
        </w:rPr>
        <w:t xml:space="preserve">The AAnF selection functionality in NF consumer or in SCP should consider </w:t>
      </w:r>
      <w:r>
        <w:t>the following factor:</w:t>
      </w:r>
    </w:p>
    <w:p>
      <w:pPr>
        <w:pStyle w:val="76"/>
      </w:pPr>
      <w:r>
        <w:rPr>
          <w:rFonts w:eastAsia="等线"/>
        </w:rPr>
        <w:t>-</w:t>
      </w:r>
      <w:r>
        <w:rPr>
          <w:rFonts w:eastAsia="等线"/>
        </w:rPr>
        <w:tab/>
      </w:r>
      <w:r>
        <w:rPr>
          <w:rFonts w:eastAsia="等线"/>
        </w:rPr>
        <w:t xml:space="preserve">the UE's </w:t>
      </w:r>
      <w:r>
        <w:t>Routing</w:t>
      </w:r>
      <w:r>
        <w:rPr>
          <w:rFonts w:eastAsia="等线"/>
        </w:rPr>
        <w:t xml:space="preserve"> Indicator.</w:t>
      </w:r>
    </w:p>
    <w:p>
      <w:pPr>
        <w:pStyle w:val="57"/>
        <w:rPr>
          <w:rFonts w:eastAsia="等线"/>
        </w:rPr>
      </w:pPr>
      <w:r>
        <w:t>NOTE 1:</w:t>
      </w:r>
      <w:r>
        <w:tab/>
      </w:r>
      <w:r>
        <w:t>The AF/NEF obtains the Routing Indicator as part of the A-KID in the AKMA request. The AUSF obtains the Routing Indicator within the Nudm_UEAuthentication_Get Response from the UDM.</w:t>
      </w:r>
    </w:p>
    <w:p>
      <w:pPr>
        <w:rPr>
          <w:rFonts w:eastAsia="等线"/>
        </w:rPr>
      </w:pPr>
      <w:r>
        <w:rPr>
          <w:rFonts w:eastAsia="等线"/>
        </w:rPr>
        <w:t xml:space="preserve">Internal AFs, the NEF and the AUSF shall select the same AAnF set based on the UE’s Routing Indicator. </w:t>
      </w:r>
    </w:p>
    <w:p>
      <w:r>
        <w:t xml:space="preserve">When the UE's Routing Indicator is set to its default value as defined in TS 23.003 [9], the AAnF NF consumer can select any AAnF instance within the home network of the UE. </w:t>
      </w:r>
    </w:p>
    <w:p>
      <w:pPr>
        <w:pStyle w:val="57"/>
      </w:pPr>
      <w:r>
        <w:t>NOTE 2:</w:t>
      </w:r>
      <w:r>
        <w:tab/>
      </w:r>
      <w:r>
        <w:t>In scenarios where multiple sets of AAnFs are deployed, it is left up to implementation how to ensure that the AAnF NF consumers select an AAnF instance within the AAnF set the UE belongs to when the UE's Routing Indicator is set to its default value.</w:t>
      </w:r>
    </w:p>
    <w:p>
      <w:r>
        <w:t>In the case of delegated discovery and selection in SCP, the AAnF NF consumer shall send all available factors to the SCP.</w:t>
      </w:r>
    </w:p>
    <w:p>
      <w:pPr>
        <w:jc w:val="center"/>
        <w:rPr>
          <w:color w:val="FF0000"/>
        </w:rPr>
      </w:pPr>
      <w:r>
        <w:rPr>
          <w:color w:val="FF0000"/>
          <w:sz w:val="40"/>
          <w:szCs w:val="4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4E"/>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87719"/>
    <w:rsid w:val="002A19E8"/>
    <w:rsid w:val="002B5741"/>
    <w:rsid w:val="002C1069"/>
    <w:rsid w:val="002E472E"/>
    <w:rsid w:val="00305409"/>
    <w:rsid w:val="0034108E"/>
    <w:rsid w:val="003609EF"/>
    <w:rsid w:val="0036231A"/>
    <w:rsid w:val="00374DD4"/>
    <w:rsid w:val="003C389F"/>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26F2D"/>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1F67EC3"/>
    <w:rsid w:val="035A20BE"/>
    <w:rsid w:val="04244062"/>
    <w:rsid w:val="044771F4"/>
    <w:rsid w:val="04923278"/>
    <w:rsid w:val="04EE0429"/>
    <w:rsid w:val="0E4B55B2"/>
    <w:rsid w:val="0EF8683E"/>
    <w:rsid w:val="10180C36"/>
    <w:rsid w:val="12481CBE"/>
    <w:rsid w:val="155C703F"/>
    <w:rsid w:val="1AC35439"/>
    <w:rsid w:val="1BB00195"/>
    <w:rsid w:val="1DF81399"/>
    <w:rsid w:val="1F0573BF"/>
    <w:rsid w:val="2D782ABD"/>
    <w:rsid w:val="340915D8"/>
    <w:rsid w:val="35190B9B"/>
    <w:rsid w:val="37D52072"/>
    <w:rsid w:val="3A5D78AB"/>
    <w:rsid w:val="41653955"/>
    <w:rsid w:val="43BA185A"/>
    <w:rsid w:val="4413579F"/>
    <w:rsid w:val="499173C8"/>
    <w:rsid w:val="4CA52FD4"/>
    <w:rsid w:val="4F9941B3"/>
    <w:rsid w:val="5205272A"/>
    <w:rsid w:val="527D653C"/>
    <w:rsid w:val="55FF0754"/>
    <w:rsid w:val="58B826EC"/>
    <w:rsid w:val="5E861790"/>
    <w:rsid w:val="64970AFE"/>
    <w:rsid w:val="64E829AA"/>
    <w:rsid w:val="680D0987"/>
    <w:rsid w:val="6EC07A25"/>
    <w:rsid w:val="73990BDC"/>
    <w:rsid w:val="7C2153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页眉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标题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8F6C6B-7D78-4868-B004-B49627D7A60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676</Words>
  <Characters>3856</Characters>
  <Lines>32</Lines>
  <Paragraphs>9</Paragraphs>
  <TotalTime>0</TotalTime>
  <ScaleCrop>false</ScaleCrop>
  <LinksUpToDate>false</LinksUpToDate>
  <CharactersWithSpaces>4523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2022-10-31T03:15:00Z</dcterms:created>
  <dc:creator>Michael Sanders, John M Meredith</dc:creator>
  <cp:lastModifiedBy>ZTE-V1</cp:lastModifiedBy>
  <cp:lastPrinted>2411-12-31T15:59:00Z</cp:lastPrinted>
  <dcterms:modified xsi:type="dcterms:W3CDTF">2022-11-07T06:19:59Z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